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8FA" w:rsidRDefault="00264EA1" w:rsidP="00264EA1">
      <w:pPr>
        <w:jc w:val="center"/>
        <w:rPr>
          <w:b/>
          <w:sz w:val="44"/>
        </w:rPr>
      </w:pPr>
      <w:bookmarkStart w:id="0" w:name="_GoBack"/>
      <w:bookmarkEnd w:id="0"/>
      <w:r w:rsidRPr="00264EA1">
        <w:rPr>
          <w:b/>
          <w:sz w:val="44"/>
        </w:rPr>
        <w:t>Evaluation Subcommittee Meeting</w:t>
      </w:r>
      <w:r w:rsidRPr="00264EA1">
        <w:rPr>
          <w:b/>
          <w:sz w:val="44"/>
        </w:rPr>
        <w:br/>
      </w:r>
      <w:r w:rsidR="00456ADA">
        <w:rPr>
          <w:b/>
          <w:sz w:val="44"/>
        </w:rPr>
        <w:t>2</w:t>
      </w:r>
      <w:r w:rsidR="002B6459">
        <w:rPr>
          <w:b/>
          <w:sz w:val="44"/>
        </w:rPr>
        <w:t>/</w:t>
      </w:r>
      <w:r w:rsidR="00C828DC">
        <w:rPr>
          <w:b/>
          <w:sz w:val="44"/>
        </w:rPr>
        <w:t>8</w:t>
      </w:r>
      <w:r w:rsidR="002B6459">
        <w:rPr>
          <w:b/>
          <w:sz w:val="44"/>
        </w:rPr>
        <w:t>/201</w:t>
      </w:r>
      <w:r w:rsidR="00C828DC">
        <w:rPr>
          <w:b/>
          <w:sz w:val="44"/>
        </w:rPr>
        <w:t>8</w:t>
      </w:r>
    </w:p>
    <w:tbl>
      <w:tblPr>
        <w:tblW w:w="8985" w:type="dxa"/>
        <w:tblLook w:val="04A0" w:firstRow="1" w:lastRow="0" w:firstColumn="1" w:lastColumn="0" w:noHBand="0" w:noVBand="1"/>
      </w:tblPr>
      <w:tblGrid>
        <w:gridCol w:w="2088"/>
        <w:gridCol w:w="2492"/>
        <w:gridCol w:w="3490"/>
        <w:gridCol w:w="915"/>
      </w:tblGrid>
      <w:tr w:rsidR="00EC2E42" w:rsidRPr="00EC2E42" w:rsidTr="00456ADA">
        <w:trPr>
          <w:trHeight w:val="590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C828DC" w:rsidRDefault="00EC2E42" w:rsidP="00EC2E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C828DC">
              <w:rPr>
                <w:rFonts w:eastAsia="Times New Roman" w:cs="Calibri"/>
                <w:b/>
                <w:bCs/>
                <w:color w:val="000000"/>
              </w:rPr>
              <w:t>Name</w:t>
            </w:r>
          </w:p>
        </w:tc>
        <w:tc>
          <w:tcPr>
            <w:tcW w:w="2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C828DC" w:rsidRDefault="00EC2E42" w:rsidP="00EC2E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C828DC">
              <w:rPr>
                <w:rFonts w:eastAsia="Times New Roman" w:cs="Calibri"/>
                <w:b/>
                <w:bCs/>
                <w:color w:val="000000"/>
              </w:rPr>
              <w:t>Role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E42" w:rsidRPr="00C828DC" w:rsidRDefault="00EC2E42" w:rsidP="00EC2E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C828DC">
              <w:rPr>
                <w:rFonts w:eastAsia="Times New Roman" w:cs="Calibri"/>
                <w:b/>
                <w:bCs/>
                <w:color w:val="000000"/>
              </w:rPr>
              <w:t>Email Address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E42" w:rsidRPr="00C828DC" w:rsidRDefault="00EC2E42" w:rsidP="00EC2E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C828DC">
              <w:rPr>
                <w:rFonts w:eastAsia="Times New Roman" w:cs="Calibri"/>
                <w:b/>
                <w:bCs/>
                <w:color w:val="000000"/>
              </w:rPr>
              <w:t>Present   Absent</w:t>
            </w:r>
          </w:p>
        </w:tc>
      </w:tr>
      <w:tr w:rsidR="00EC2E42" w:rsidRPr="00EC2E42" w:rsidTr="009423C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2E42" w:rsidRPr="00C828DC" w:rsidRDefault="000502C4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Alice Chrostowski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2E42" w:rsidRPr="00C828DC" w:rsidRDefault="000502C4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System Partner Tri-Chair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2E42" w:rsidRPr="00C828DC" w:rsidRDefault="00DC652C" w:rsidP="00C828DC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</w:rPr>
            </w:pPr>
            <w:hyperlink r:id="rId7" w:history="1">
              <w:r w:rsidR="000502C4" w:rsidRPr="00C828DC">
                <w:rPr>
                  <w:rStyle w:val="Hyperlink"/>
                  <w:rFonts w:eastAsia="Times New Roman" w:cs="Calibri"/>
                </w:rPr>
                <w:t>achrostowski@eecaremgt.org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</w:tcPr>
          <w:p w:rsidR="00EC2E42" w:rsidRPr="00C828DC" w:rsidRDefault="00FB1111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Present</w:t>
            </w:r>
          </w:p>
        </w:tc>
      </w:tr>
      <w:tr w:rsidR="00EC2E42" w:rsidRPr="00EC2E42" w:rsidTr="00C828DC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2E42" w:rsidRPr="00C828DC" w:rsidRDefault="000502C4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A. Rand Coleman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2E42" w:rsidRPr="00C828DC" w:rsidRDefault="000502C4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Family/Provider Partner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2E42" w:rsidRPr="00C828DC" w:rsidRDefault="00DC652C" w:rsidP="00C828DC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</w:rPr>
            </w:pPr>
            <w:hyperlink r:id="rId8" w:history="1">
              <w:r w:rsidR="000502C4" w:rsidRPr="00C828DC">
                <w:rPr>
                  <w:rStyle w:val="Hyperlink"/>
                  <w:rFonts w:eastAsia="Times New Roman" w:cs="Calibri"/>
                </w:rPr>
                <w:t>randcoleman@gmail.com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C2E42" w:rsidRPr="00C828DC" w:rsidRDefault="009423C2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Absent</w:t>
            </w:r>
          </w:p>
        </w:tc>
      </w:tr>
      <w:tr w:rsidR="00EC2E42" w:rsidRPr="00EC2E42" w:rsidTr="00C828DC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2E42" w:rsidRPr="00C828DC" w:rsidRDefault="000502C4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Jase Elam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2E42" w:rsidRPr="00C828DC" w:rsidRDefault="000502C4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Youth Partner Tri-Chair/Provider Partner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2E42" w:rsidRPr="00C828DC" w:rsidRDefault="00DC652C" w:rsidP="00C828DC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</w:rPr>
            </w:pPr>
            <w:hyperlink r:id="rId9" w:history="1">
              <w:r w:rsidR="000502C4" w:rsidRPr="00C828DC">
                <w:rPr>
                  <w:rStyle w:val="Hyperlink"/>
                  <w:rFonts w:eastAsia="Times New Roman" w:cs="Calibri"/>
                </w:rPr>
                <w:t>jelam@prysmyouthcenter.org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C2E42" w:rsidRPr="00C828DC" w:rsidRDefault="009423C2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Absent</w:t>
            </w:r>
          </w:p>
        </w:tc>
      </w:tr>
      <w:tr w:rsidR="00EC2E42" w:rsidRPr="00EC2E42" w:rsidTr="00C828DC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2E42" w:rsidRPr="00C828DC" w:rsidRDefault="000502C4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Dan Fisher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2E42" w:rsidRPr="00C828DC" w:rsidRDefault="000502C4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System Partner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2E42" w:rsidRPr="00C828DC" w:rsidRDefault="00DC652C" w:rsidP="00C828DC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</w:rPr>
            </w:pPr>
            <w:hyperlink r:id="rId10" w:history="1">
              <w:r w:rsidR="000502C4" w:rsidRPr="00C828DC">
                <w:rPr>
                  <w:rStyle w:val="Hyperlink"/>
                  <w:rFonts w:eastAsia="Times New Roman" w:cs="Calibri"/>
                </w:rPr>
                <w:t>dfisher@childandfamilyfocus.org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C2E42" w:rsidRPr="00C828DC" w:rsidRDefault="009423C2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Absent</w:t>
            </w:r>
          </w:p>
        </w:tc>
      </w:tr>
      <w:tr w:rsidR="00456ADA" w:rsidRPr="00EC2E42" w:rsidTr="009423C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Steve Freas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System Partner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DC652C" w:rsidP="00C828DC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</w:rPr>
            </w:pPr>
            <w:hyperlink r:id="rId11" w:history="1">
              <w:r w:rsidR="00456ADA" w:rsidRPr="00C828DC">
                <w:rPr>
                  <w:rStyle w:val="Hyperlink"/>
                  <w:rFonts w:eastAsia="Times New Roman" w:cs="Calibri"/>
                </w:rPr>
                <w:t>sfreas@hsao.org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</w:tcPr>
          <w:p w:rsidR="00456ADA" w:rsidRPr="00C828DC" w:rsidRDefault="009423C2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Present</w:t>
            </w:r>
          </w:p>
        </w:tc>
      </w:tr>
      <w:tr w:rsidR="00456ADA" w:rsidRPr="00EC2E42" w:rsidTr="009423C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Dr. Gordon Hodas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System Partner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DC652C" w:rsidP="00C828DC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</w:rPr>
            </w:pPr>
            <w:hyperlink r:id="rId12" w:history="1">
              <w:r w:rsidR="00456ADA" w:rsidRPr="00C828DC">
                <w:rPr>
                  <w:rStyle w:val="Hyperlink"/>
                  <w:rFonts w:eastAsia="Times New Roman" w:cs="Calibri"/>
                </w:rPr>
                <w:t>gordonhodas@hotmail.com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</w:tcPr>
          <w:p w:rsidR="00456ADA" w:rsidRPr="00C828DC" w:rsidRDefault="009423C2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Present</w:t>
            </w:r>
          </w:p>
        </w:tc>
      </w:tr>
      <w:tr w:rsidR="00456ADA" w:rsidRPr="00EC2E42" w:rsidTr="009423C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Andy Kind-Rubin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Family/Provider Partner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DC652C" w:rsidP="00C828DC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</w:rPr>
            </w:pPr>
            <w:hyperlink r:id="rId13" w:history="1">
              <w:r w:rsidR="00456ADA" w:rsidRPr="00C828DC">
                <w:rPr>
                  <w:rStyle w:val="Hyperlink"/>
                  <w:rFonts w:eastAsia="Times New Roman" w:cs="Calibri"/>
                </w:rPr>
                <w:t>akindrubin@gmail.com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</w:tcPr>
          <w:p w:rsidR="00456ADA" w:rsidRPr="00C828DC" w:rsidRDefault="009423C2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Present</w:t>
            </w:r>
          </w:p>
        </w:tc>
      </w:tr>
      <w:tr w:rsidR="00456ADA" w:rsidRPr="00EC2E42" w:rsidTr="009423C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Wendy Luckenbill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System Partner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DC652C" w:rsidP="00C828DC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</w:rPr>
            </w:pPr>
            <w:hyperlink r:id="rId14" w:history="1">
              <w:r w:rsidR="00456ADA" w:rsidRPr="00C828DC">
                <w:rPr>
                  <w:rStyle w:val="Hyperlink"/>
                  <w:rFonts w:eastAsia="Times New Roman"/>
                </w:rPr>
                <w:t>luckenbillwl@upmc.edu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</w:tcPr>
          <w:p w:rsidR="00456ADA" w:rsidRPr="00C828DC" w:rsidRDefault="009423C2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Present</w:t>
            </w:r>
          </w:p>
        </w:tc>
      </w:tr>
      <w:tr w:rsidR="00456ADA" w:rsidRPr="00EC2E42" w:rsidTr="009423C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Corey Ludden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System/Youth Partner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DC652C" w:rsidP="00C828DC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</w:rPr>
            </w:pPr>
            <w:hyperlink r:id="rId15" w:history="1">
              <w:r w:rsidR="00456ADA" w:rsidRPr="00C828DC">
                <w:rPr>
                  <w:rStyle w:val="Hyperlink"/>
                  <w:rFonts w:eastAsia="Times New Roman" w:cs="Calibri"/>
                </w:rPr>
                <w:t>corey@youthmovepa.org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</w:tcPr>
          <w:p w:rsidR="00456ADA" w:rsidRPr="00C828DC" w:rsidRDefault="009423C2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Present</w:t>
            </w:r>
          </w:p>
        </w:tc>
      </w:tr>
      <w:tr w:rsidR="00456ADA" w:rsidRPr="00EC2E42" w:rsidTr="00C828DC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Bryon Luke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Provider Partner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DC652C" w:rsidP="00C828DC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</w:rPr>
            </w:pPr>
            <w:hyperlink r:id="rId16" w:history="1">
              <w:r w:rsidR="00456ADA" w:rsidRPr="00C828DC">
                <w:rPr>
                  <w:rStyle w:val="Hyperlink"/>
                  <w:rFonts w:eastAsia="Times New Roman" w:cs="Calibri"/>
                </w:rPr>
                <w:t>bluke@childandfamilyfocus.org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ADA" w:rsidRPr="00C828DC" w:rsidRDefault="009423C2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Absent</w:t>
            </w:r>
          </w:p>
        </w:tc>
      </w:tr>
      <w:tr w:rsidR="00456ADA" w:rsidRPr="00EC2E42" w:rsidTr="009423C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Lisa Milan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System Partner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DC652C" w:rsidP="00C828DC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</w:rPr>
            </w:pPr>
            <w:hyperlink r:id="rId17" w:history="1">
              <w:r w:rsidR="00456ADA" w:rsidRPr="00C828DC">
                <w:rPr>
                  <w:rStyle w:val="Hyperlink"/>
                  <w:rFonts w:eastAsia="Times New Roman" w:cs="Calibri"/>
                </w:rPr>
                <w:t>lmilan@co.greene.pa.us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</w:tcPr>
          <w:p w:rsidR="00456ADA" w:rsidRPr="00C828DC" w:rsidRDefault="009423C2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Present</w:t>
            </w:r>
          </w:p>
        </w:tc>
      </w:tr>
      <w:tr w:rsidR="00456ADA" w:rsidRPr="00EC2E42" w:rsidTr="00C828DC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Amber Myers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Youth Partner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DC652C" w:rsidP="00C828DC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</w:rPr>
            </w:pPr>
            <w:hyperlink r:id="rId18" w:history="1">
              <w:r w:rsidR="00456ADA" w:rsidRPr="00C828DC">
                <w:rPr>
                  <w:rStyle w:val="Hyperlink"/>
                  <w:rFonts w:eastAsia="Times New Roman" w:cs="Calibri"/>
                </w:rPr>
                <w:t>Myersaa298@gmail.com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ADA" w:rsidRPr="00C828DC" w:rsidRDefault="009423C2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Absent</w:t>
            </w:r>
          </w:p>
        </w:tc>
      </w:tr>
      <w:tr w:rsidR="00456ADA" w:rsidRPr="00EC2E42" w:rsidTr="009423C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Nico’Lee Rohac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Youth/Provider Partner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DC652C" w:rsidP="00C828DC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</w:rPr>
            </w:pPr>
            <w:hyperlink r:id="rId19" w:history="1">
              <w:r w:rsidR="00456ADA" w:rsidRPr="00C828DC">
                <w:rPr>
                  <w:rStyle w:val="Hyperlink"/>
                  <w:rFonts w:eastAsia="Times New Roman" w:cs="Calibri"/>
                </w:rPr>
                <w:t>nrohac@gmail.com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</w:tcPr>
          <w:p w:rsidR="00456ADA" w:rsidRPr="00C828DC" w:rsidRDefault="009423C2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Present</w:t>
            </w:r>
          </w:p>
        </w:tc>
      </w:tr>
      <w:tr w:rsidR="00456ADA" w:rsidRPr="00EC2E42" w:rsidTr="00C828DC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Maria Silva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Family Partner Tri-Chair/Provider Partner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DC652C" w:rsidP="00C828DC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</w:rPr>
            </w:pPr>
            <w:hyperlink r:id="rId20" w:history="1">
              <w:r w:rsidR="00456ADA" w:rsidRPr="00C828DC">
                <w:rPr>
                  <w:rStyle w:val="Hyperlink"/>
                  <w:rFonts w:eastAsia="Times New Roman" w:cs="Calibri"/>
                </w:rPr>
                <w:t>msilva@alleghenyfamilynetwork.org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ADA" w:rsidRPr="00C828DC" w:rsidRDefault="009423C2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Absent</w:t>
            </w:r>
          </w:p>
        </w:tc>
      </w:tr>
      <w:tr w:rsidR="00456ADA" w:rsidRPr="00EC2E42" w:rsidTr="009423C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Deann Hamilton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 xml:space="preserve">Family Partner 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ADA" w:rsidRPr="00C828DC" w:rsidRDefault="00DC652C" w:rsidP="00C828DC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</w:rPr>
            </w:pPr>
            <w:hyperlink r:id="rId21" w:history="1">
              <w:r w:rsidR="00456ADA" w:rsidRPr="00C828DC">
                <w:rPr>
                  <w:rStyle w:val="Hyperlink"/>
                  <w:rFonts w:eastAsia="Times New Roman" w:cs="Calibri"/>
                </w:rPr>
                <w:t>deannhamilton@gmail.com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</w:tcPr>
          <w:p w:rsidR="00456ADA" w:rsidRPr="00C828DC" w:rsidRDefault="009423C2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Present</w:t>
            </w:r>
          </w:p>
        </w:tc>
      </w:tr>
      <w:tr w:rsidR="00456ADA" w:rsidRPr="00EC2E42" w:rsidTr="00C828DC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Tita Atte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Lead Evaluator, GLS Suicide Prevention Grant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ADA" w:rsidRPr="00C828DC" w:rsidRDefault="00DC652C" w:rsidP="00C828DC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</w:rPr>
            </w:pPr>
            <w:hyperlink r:id="rId22" w:history="1">
              <w:r w:rsidR="00456ADA" w:rsidRPr="00C828DC">
                <w:rPr>
                  <w:rStyle w:val="Hyperlink"/>
                  <w:rFonts w:eastAsia="Times New Roman" w:cs="Calibri"/>
                </w:rPr>
                <w:t>ta63@drexel.edu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ADA" w:rsidRPr="00C828DC" w:rsidRDefault="009423C2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Absent</w:t>
            </w:r>
          </w:p>
        </w:tc>
      </w:tr>
      <w:tr w:rsidR="00456ADA" w:rsidRPr="00EC2E42" w:rsidTr="00C828DC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Melissa Bible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Erie-Luzerne System of Care Initiative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ADA" w:rsidRPr="00C828DC" w:rsidRDefault="00DC652C" w:rsidP="00C828DC">
            <w:pPr>
              <w:spacing w:after="0" w:line="240" w:lineRule="auto"/>
            </w:pPr>
            <w:hyperlink r:id="rId23" w:history="1">
              <w:r w:rsidR="00456ADA" w:rsidRPr="00C828DC">
                <w:rPr>
                  <w:rStyle w:val="Hyperlink"/>
                </w:rPr>
                <w:t>mrbible@eriecountypa.gov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ADA" w:rsidRPr="00C828DC" w:rsidRDefault="009423C2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Absent</w:t>
            </w:r>
          </w:p>
        </w:tc>
      </w:tr>
      <w:tr w:rsidR="00456ADA" w:rsidRPr="00EC2E42" w:rsidTr="009423C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Judy Davis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Consultant, BHARP SOC Project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DC652C" w:rsidP="00C828DC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</w:rPr>
            </w:pPr>
            <w:hyperlink r:id="rId24" w:history="1">
              <w:r w:rsidR="00456ADA" w:rsidRPr="00C828DC">
                <w:rPr>
                  <w:rStyle w:val="Hyperlink"/>
                  <w:rFonts w:eastAsia="Times New Roman" w:cs="Calibri"/>
                </w:rPr>
                <w:t>judydavis@bharp.org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</w:tcPr>
          <w:p w:rsidR="00456ADA" w:rsidRPr="00C828DC" w:rsidRDefault="009423C2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Present</w:t>
            </w:r>
          </w:p>
        </w:tc>
      </w:tr>
      <w:tr w:rsidR="00456ADA" w:rsidRPr="00EC2E42" w:rsidTr="009423C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Mark Durgin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Director, Pa SOC Partnership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DC652C" w:rsidP="00C828DC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</w:rPr>
            </w:pPr>
            <w:hyperlink r:id="rId25" w:history="1">
              <w:r w:rsidR="00456ADA" w:rsidRPr="00C828DC">
                <w:rPr>
                  <w:rStyle w:val="Hyperlink"/>
                  <w:rFonts w:eastAsia="Times New Roman" w:cs="Calibri"/>
                </w:rPr>
                <w:t>Durginm@upmc.edu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</w:tcPr>
          <w:p w:rsidR="00456ADA" w:rsidRPr="00C828DC" w:rsidRDefault="009423C2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Present</w:t>
            </w:r>
          </w:p>
        </w:tc>
      </w:tr>
      <w:tr w:rsidR="00456ADA" w:rsidRPr="00EC2E42" w:rsidTr="009423C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Karen Jenkins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Director, Healthy Transitions Partnership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DC652C" w:rsidP="00C828DC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</w:rPr>
            </w:pPr>
            <w:hyperlink r:id="rId26" w:history="1">
              <w:r w:rsidR="00456ADA" w:rsidRPr="00C828DC">
                <w:rPr>
                  <w:rStyle w:val="Hyperlink"/>
                  <w:rFonts w:eastAsia="Times New Roman" w:cs="Calibri"/>
                </w:rPr>
                <w:t>jenkinske@upmc.edu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</w:tcPr>
          <w:p w:rsidR="00456ADA" w:rsidRPr="00C828DC" w:rsidRDefault="009423C2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Present</w:t>
            </w:r>
          </w:p>
        </w:tc>
      </w:tr>
      <w:tr w:rsidR="00456ADA" w:rsidRPr="00EC2E42" w:rsidTr="009423C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Anne Katona-Linn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Co-Director, SS/HS Partnership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DC652C" w:rsidP="00C828DC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</w:rPr>
            </w:pPr>
            <w:hyperlink r:id="rId27" w:history="1">
              <w:r w:rsidR="00456ADA" w:rsidRPr="00C828DC">
                <w:rPr>
                  <w:rStyle w:val="Hyperlink"/>
                  <w:rFonts w:eastAsia="Times New Roman" w:cs="Calibri"/>
                </w:rPr>
                <w:t>akatonalinn@gmail.com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</w:tcPr>
          <w:p w:rsidR="00456ADA" w:rsidRPr="00C828DC" w:rsidRDefault="009423C2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Present</w:t>
            </w:r>
          </w:p>
        </w:tc>
      </w:tr>
      <w:tr w:rsidR="00456ADA" w:rsidRPr="00EC2E42" w:rsidTr="009423C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Deana Moore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Co-Director, SS/HS Partnership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DC652C" w:rsidP="00C828DC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</w:rPr>
            </w:pPr>
            <w:hyperlink r:id="rId28" w:history="1">
              <w:r w:rsidR="00456ADA" w:rsidRPr="00C828DC">
                <w:rPr>
                  <w:rStyle w:val="Hyperlink"/>
                  <w:rFonts w:eastAsia="Times New Roman" w:cs="Calibri"/>
                </w:rPr>
                <w:t>dmoerer@yapinc.org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</w:tcPr>
          <w:p w:rsidR="00456ADA" w:rsidRPr="00C828DC" w:rsidRDefault="009423C2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Present</w:t>
            </w:r>
          </w:p>
        </w:tc>
      </w:tr>
      <w:tr w:rsidR="00456ADA" w:rsidRPr="00EC2E42" w:rsidTr="009423C2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Jill Santiago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PA SOC Partnership Social Media Coordinator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DC652C" w:rsidP="00C828DC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</w:rPr>
            </w:pPr>
            <w:hyperlink r:id="rId29" w:history="1">
              <w:r w:rsidR="00456ADA" w:rsidRPr="00C828DC">
                <w:rPr>
                  <w:rStyle w:val="Hyperlink"/>
                  <w:rFonts w:eastAsia="Times New Roman" w:cs="Calibri"/>
                </w:rPr>
                <w:t>pasocjill@gmail.com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</w:tcPr>
          <w:p w:rsidR="00456ADA" w:rsidRPr="00C828DC" w:rsidRDefault="009423C2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Present</w:t>
            </w:r>
          </w:p>
        </w:tc>
      </w:tr>
      <w:tr w:rsidR="00456ADA" w:rsidRPr="00EC2E42" w:rsidTr="00C828DC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Monica Walker Payne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 xml:space="preserve">Director of Evaluation, YFTI 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ADA" w:rsidRPr="00C828DC" w:rsidRDefault="00DC652C" w:rsidP="00C828DC">
            <w:pPr>
              <w:spacing w:after="0" w:line="240" w:lineRule="auto"/>
            </w:pPr>
            <w:hyperlink r:id="rId30" w:history="1">
              <w:r w:rsidR="00456ADA" w:rsidRPr="00C828DC">
                <w:rPr>
                  <w:rStyle w:val="Hyperlink"/>
                </w:rPr>
                <w:t>walkermm@upmc.edu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ADA" w:rsidRPr="00C828DC" w:rsidRDefault="009423C2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Absent</w:t>
            </w:r>
          </w:p>
        </w:tc>
      </w:tr>
      <w:tr w:rsidR="00456ADA" w:rsidRPr="00EC2E42" w:rsidTr="00C828DC">
        <w:trPr>
          <w:trHeight w:val="300"/>
        </w:trPr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Samantha Bursic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Systems Analyst, YFTI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56ADA" w:rsidRPr="00C828DC" w:rsidRDefault="00DC652C" w:rsidP="00C828DC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</w:rPr>
            </w:pPr>
            <w:hyperlink r:id="rId31" w:history="1">
              <w:r w:rsidR="00456ADA" w:rsidRPr="00C828DC">
                <w:rPr>
                  <w:rStyle w:val="Hyperlink"/>
                  <w:rFonts w:eastAsia="Times New Roman" w:cs="Calibri"/>
                </w:rPr>
                <w:t>bursics@upmc.edu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B050"/>
            <w:noWrap/>
            <w:hideMark/>
          </w:tcPr>
          <w:p w:rsidR="00456ADA" w:rsidRPr="00C828DC" w:rsidRDefault="00456ADA" w:rsidP="00C828D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828DC">
              <w:rPr>
                <w:rFonts w:eastAsia="Times New Roman" w:cs="Calibri"/>
                <w:color w:val="000000"/>
              </w:rPr>
              <w:t>Present</w:t>
            </w:r>
          </w:p>
        </w:tc>
      </w:tr>
      <w:tr w:rsidR="00456ADA" w:rsidRPr="00EC2E42" w:rsidTr="00C828DC">
        <w:trPr>
          <w:trHeight w:val="8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ADA" w:rsidRDefault="00456ADA" w:rsidP="00C8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ADA" w:rsidRDefault="00456ADA" w:rsidP="00C8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ADA" w:rsidRDefault="00456ADA" w:rsidP="00C828D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</w:tcPr>
          <w:p w:rsidR="00456ADA" w:rsidRDefault="00456ADA" w:rsidP="00C8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64EA1" w:rsidRPr="0011656C" w:rsidRDefault="00264EA1" w:rsidP="00264EA1">
      <w:r w:rsidRPr="0011656C">
        <w:lastRenderedPageBreak/>
        <w:t>Standing Meeting will be the 2</w:t>
      </w:r>
      <w:r w:rsidRPr="0011656C">
        <w:rPr>
          <w:vertAlign w:val="superscript"/>
        </w:rPr>
        <w:t>nd</w:t>
      </w:r>
      <w:r w:rsidRPr="0011656C">
        <w:t xml:space="preserve"> Thursday of the month from 9:00</w:t>
      </w:r>
      <w:r w:rsidR="00906D5F" w:rsidRPr="0011656C">
        <w:t xml:space="preserve"> AM</w:t>
      </w:r>
      <w:r w:rsidRPr="0011656C">
        <w:t xml:space="preserve"> to 10:30</w:t>
      </w:r>
      <w:r w:rsidR="00906D5F" w:rsidRPr="0011656C">
        <w:t xml:space="preserve"> AM</w:t>
      </w:r>
      <w:r w:rsidRPr="0011656C">
        <w:t xml:space="preserve">. </w:t>
      </w:r>
    </w:p>
    <w:p w:rsidR="005F21F5" w:rsidRPr="0011656C" w:rsidRDefault="00C91410" w:rsidP="006413A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hAnsi="Calibri"/>
        </w:rPr>
      </w:pPr>
      <w:r w:rsidRPr="0011656C">
        <w:rPr>
          <w:rFonts w:ascii="Calibri" w:hAnsi="Calibri"/>
        </w:rPr>
        <w:t>At 9:0</w:t>
      </w:r>
      <w:r w:rsidR="00456ADA" w:rsidRPr="0011656C">
        <w:rPr>
          <w:rFonts w:ascii="Calibri" w:hAnsi="Calibri"/>
        </w:rPr>
        <w:t>0</w:t>
      </w:r>
      <w:r w:rsidR="00DF70C1" w:rsidRPr="0011656C">
        <w:rPr>
          <w:rFonts w:ascii="Calibri" w:hAnsi="Calibri"/>
        </w:rPr>
        <w:t xml:space="preserve"> AM, </w:t>
      </w:r>
      <w:r w:rsidR="0011656C">
        <w:rPr>
          <w:rFonts w:ascii="Calibri" w:hAnsi="Calibri"/>
        </w:rPr>
        <w:t>Sam</w:t>
      </w:r>
      <w:r w:rsidRPr="0011656C">
        <w:rPr>
          <w:rFonts w:ascii="Calibri" w:hAnsi="Calibri"/>
        </w:rPr>
        <w:t xml:space="preserve"> </w:t>
      </w:r>
      <w:r w:rsidR="00DF70C1" w:rsidRPr="0011656C">
        <w:rPr>
          <w:rFonts w:ascii="Calibri" w:hAnsi="Calibri"/>
        </w:rPr>
        <w:t>welcomed everyone to the call</w:t>
      </w:r>
      <w:r w:rsidR="0011656C">
        <w:rPr>
          <w:rFonts w:ascii="Calibri" w:hAnsi="Calibri"/>
        </w:rPr>
        <w:t xml:space="preserve"> and waited a few more minutes for others to join</w:t>
      </w:r>
      <w:r w:rsidR="00EC2E42" w:rsidRPr="0011656C">
        <w:rPr>
          <w:rFonts w:ascii="Calibri" w:hAnsi="Calibri"/>
        </w:rPr>
        <w:t>.</w:t>
      </w:r>
    </w:p>
    <w:p w:rsidR="0011656C" w:rsidRDefault="0011656C" w:rsidP="0011656C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Attendance and </w:t>
      </w:r>
      <w:r w:rsidR="000A656F">
        <w:rPr>
          <w:rFonts w:ascii="Calibri" w:hAnsi="Calibri"/>
        </w:rPr>
        <w:t>c</w:t>
      </w:r>
      <w:r>
        <w:rPr>
          <w:rFonts w:ascii="Calibri" w:hAnsi="Calibri"/>
        </w:rPr>
        <w:t>elebrations.</w:t>
      </w:r>
    </w:p>
    <w:p w:rsidR="0011656C" w:rsidRPr="00A3047D" w:rsidRDefault="0011656C" w:rsidP="00A3047D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</w:rPr>
      </w:pPr>
      <w:r w:rsidRPr="0011656C">
        <w:rPr>
          <w:rFonts w:ascii="Calibri" w:hAnsi="Calibri"/>
        </w:rPr>
        <w:t>Nico’Lee</w:t>
      </w:r>
      <w:r>
        <w:rPr>
          <w:rFonts w:ascii="Calibri" w:hAnsi="Calibri"/>
        </w:rPr>
        <w:t xml:space="preserve"> was the only attendee to share a celebration. She </w:t>
      </w:r>
      <w:r w:rsidRPr="0011656C">
        <w:rPr>
          <w:rFonts w:ascii="Calibri" w:hAnsi="Calibri"/>
        </w:rPr>
        <w:t xml:space="preserve">passed the license exam to become a Licensed Clinical Social Worker </w:t>
      </w:r>
      <w:r w:rsidR="00A04F1A">
        <w:rPr>
          <w:rFonts w:ascii="Calibri" w:hAnsi="Calibri"/>
        </w:rPr>
        <w:t>and</w:t>
      </w:r>
      <w:r w:rsidRPr="0011656C">
        <w:rPr>
          <w:rFonts w:ascii="Calibri" w:hAnsi="Calibri"/>
        </w:rPr>
        <w:t xml:space="preserve"> also presented during a webinar for a National Policy Council on ways to prevent unnecessary entry into foster care from the young adult perspective.</w:t>
      </w:r>
    </w:p>
    <w:p w:rsidR="002F269F" w:rsidRDefault="00A3047D" w:rsidP="00C9141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hAnsi="Calibri"/>
        </w:rPr>
      </w:pPr>
      <w:r w:rsidRPr="00A3047D">
        <w:rPr>
          <w:rFonts w:ascii="Calibri" w:hAnsi="Calibri"/>
        </w:rPr>
        <w:t>The t</w:t>
      </w:r>
      <w:r w:rsidR="004A487F" w:rsidRPr="00A3047D">
        <w:rPr>
          <w:rFonts w:ascii="Calibri" w:hAnsi="Calibri"/>
        </w:rPr>
        <w:t>hree workgroups presented their progress and draft materials for feedback to the Subcommittee</w:t>
      </w:r>
      <w:r w:rsidR="0091389C">
        <w:rPr>
          <w:rFonts w:ascii="Calibri" w:hAnsi="Calibri"/>
        </w:rPr>
        <w:t>.</w:t>
      </w:r>
    </w:p>
    <w:p w:rsidR="00A3047D" w:rsidRPr="00A3047D" w:rsidRDefault="00A3047D" w:rsidP="00A3047D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A3047D">
        <w:rPr>
          <w:rFonts w:ascii="Calibri" w:hAnsi="Calibri"/>
        </w:rPr>
        <w:t>Evaluation Subcommittee Recruitment Tool</w:t>
      </w:r>
    </w:p>
    <w:p w:rsidR="00A3047D" w:rsidRDefault="00A3047D" w:rsidP="00A3047D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/>
        </w:rPr>
      </w:pPr>
      <w:r w:rsidRPr="00A3047D">
        <w:rPr>
          <w:rFonts w:ascii="Calibri" w:hAnsi="Calibri"/>
        </w:rPr>
        <w:t>Sam showed the draft</w:t>
      </w:r>
      <w:r>
        <w:rPr>
          <w:rFonts w:ascii="Calibri" w:hAnsi="Calibri"/>
        </w:rPr>
        <w:t xml:space="preserve">s of both the Subcommittee Recruitment Brochure and </w:t>
      </w:r>
      <w:r>
        <w:rPr>
          <w:rFonts w:ascii="Calibri" w:hAnsi="Calibri"/>
          <w:i/>
        </w:rPr>
        <w:t xml:space="preserve">What Can We Do For You </w:t>
      </w:r>
      <w:r>
        <w:rPr>
          <w:rFonts w:ascii="Calibri" w:hAnsi="Calibri"/>
        </w:rPr>
        <w:t>Brochure.</w:t>
      </w:r>
      <w:r w:rsidRPr="00A3047D">
        <w:rPr>
          <w:rFonts w:ascii="Calibri" w:hAnsi="Calibri"/>
        </w:rPr>
        <w:t xml:space="preserve"> </w:t>
      </w:r>
    </w:p>
    <w:p w:rsidR="00A3047D" w:rsidRPr="00A3047D" w:rsidRDefault="00A3047D" w:rsidP="00A3047D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The few comments made were positive, including that neither brochure was</w:t>
      </w:r>
      <w:r w:rsidR="000A656F">
        <w:rPr>
          <w:rFonts w:ascii="Calibri" w:hAnsi="Calibri"/>
        </w:rPr>
        <w:t xml:space="preserve"> too</w:t>
      </w:r>
      <w:r>
        <w:rPr>
          <w:rFonts w:ascii="Calibri" w:hAnsi="Calibri"/>
        </w:rPr>
        <w:t xml:space="preserve"> overwhelming and each had just enough content.</w:t>
      </w:r>
    </w:p>
    <w:p w:rsidR="00A3047D" w:rsidRDefault="000A656F" w:rsidP="00A3047D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Gordon mentioned that if</w:t>
      </w:r>
      <w:r w:rsidR="00A3047D">
        <w:rPr>
          <w:rFonts w:ascii="Calibri" w:hAnsi="Calibri"/>
        </w:rPr>
        <w:t xml:space="preserve"> the </w:t>
      </w:r>
      <w:r w:rsidRPr="00A3047D">
        <w:rPr>
          <w:rFonts w:ascii="Calibri" w:hAnsi="Calibri"/>
          <w:i/>
        </w:rPr>
        <w:t>What Can We Do For You</w:t>
      </w:r>
      <w:r w:rsidRPr="00A3047D">
        <w:rPr>
          <w:rFonts w:ascii="Calibri" w:hAnsi="Calibri"/>
        </w:rPr>
        <w:t xml:space="preserve"> Brochure</w:t>
      </w:r>
      <w:r>
        <w:rPr>
          <w:rFonts w:ascii="Calibri" w:hAnsi="Calibri"/>
        </w:rPr>
        <w:t xml:space="preserve"> </w:t>
      </w:r>
      <w:r w:rsidR="00A3047D">
        <w:rPr>
          <w:rFonts w:ascii="Calibri" w:hAnsi="Calibri"/>
        </w:rPr>
        <w:t>was to be continually used, to</w:t>
      </w:r>
      <w:r>
        <w:rPr>
          <w:rFonts w:ascii="Calibri" w:hAnsi="Calibri"/>
        </w:rPr>
        <w:t xml:space="preserve"> take the numbers off at the top</w:t>
      </w:r>
      <w:r w:rsidR="00A3047D">
        <w:rPr>
          <w:rFonts w:ascii="Calibri" w:hAnsi="Calibri"/>
        </w:rPr>
        <w:t xml:space="preserve"> so that it does not become easily outdated. Instead, replace it with something about “</w:t>
      </w:r>
      <w:r>
        <w:rPr>
          <w:rFonts w:ascii="Calibri" w:hAnsi="Calibri"/>
        </w:rPr>
        <w:t>striv</w:t>
      </w:r>
      <w:r w:rsidR="00A3047D">
        <w:rPr>
          <w:rFonts w:ascii="Calibri" w:hAnsi="Calibri"/>
        </w:rPr>
        <w:t>ing for equal representation” of youth, family, and system and providers partners.</w:t>
      </w:r>
    </w:p>
    <w:p w:rsidR="00A3047D" w:rsidRDefault="00A3047D" w:rsidP="00A3047D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Youth Recruitment Tool</w:t>
      </w:r>
    </w:p>
    <w:p w:rsidR="00A3047D" w:rsidRDefault="00A3047D" w:rsidP="00A3047D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Nico’Lee showed the draft of the Youth Recruitment Brochure.</w:t>
      </w:r>
    </w:p>
    <w:p w:rsidR="00A3047D" w:rsidRDefault="00A3047D" w:rsidP="00A3047D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Some of the comments and feedback included:</w:t>
      </w:r>
    </w:p>
    <w:p w:rsidR="00A3047D" w:rsidRDefault="00A3047D" w:rsidP="00A3047D">
      <w:pPr>
        <w:pStyle w:val="ListParagraph"/>
        <w:numPr>
          <w:ilvl w:val="3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DC652C">
        <w:rPr>
          <w:rFonts w:ascii="Calibri" w:hAnsi="Calibri"/>
        </w:rPr>
        <w:t>breakup</w:t>
      </w:r>
      <w:r>
        <w:rPr>
          <w:rFonts w:ascii="Calibri" w:hAnsi="Calibri"/>
        </w:rPr>
        <w:t xml:space="preserve"> of the text in the Who We Are &amp; What We Do section is good, not too much</w:t>
      </w:r>
      <w:r w:rsidR="000A656F">
        <w:rPr>
          <w:rFonts w:ascii="Calibri" w:hAnsi="Calibri"/>
        </w:rPr>
        <w:t>,</w:t>
      </w:r>
      <w:r>
        <w:rPr>
          <w:rFonts w:ascii="Calibri" w:hAnsi="Calibri"/>
        </w:rPr>
        <w:t xml:space="preserve"> and informative.</w:t>
      </w:r>
    </w:p>
    <w:p w:rsidR="00A3047D" w:rsidRDefault="00A3047D" w:rsidP="00A3047D">
      <w:pPr>
        <w:pStyle w:val="ListParagraph"/>
        <w:numPr>
          <w:ilvl w:val="3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Gordon suggested that the text in this section, since it is all capitalized, it is difficult to read.</w:t>
      </w:r>
    </w:p>
    <w:p w:rsidR="00F13C3D" w:rsidRDefault="00F13C3D" w:rsidP="00A3047D">
      <w:pPr>
        <w:pStyle w:val="ListParagraph"/>
        <w:numPr>
          <w:ilvl w:val="3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There was also a discussion around “behavioral health, child welfare, and/or juvenile justice system.” Could we combine this into “child serving systems?” Would youth understand? How much do they understand about how it is currently </w:t>
      </w:r>
      <w:r w:rsidR="000A656F">
        <w:rPr>
          <w:rFonts w:ascii="Calibri" w:hAnsi="Calibri"/>
        </w:rPr>
        <w:t>written</w:t>
      </w:r>
      <w:r>
        <w:rPr>
          <w:rFonts w:ascii="Calibri" w:hAnsi="Calibri"/>
        </w:rPr>
        <w:t>?</w:t>
      </w:r>
    </w:p>
    <w:p w:rsidR="00A3047D" w:rsidRDefault="00F13C3D" w:rsidP="00A3047D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This group</w:t>
      </w:r>
      <w:r w:rsidR="00A3047D">
        <w:rPr>
          <w:rFonts w:ascii="Calibri" w:hAnsi="Calibri"/>
        </w:rPr>
        <w:t xml:space="preserve"> is hoping to make updates to the brochure as well as complete the </w:t>
      </w:r>
      <w:r w:rsidR="00A3047D" w:rsidRPr="00A3047D">
        <w:rPr>
          <w:rFonts w:ascii="Calibri" w:hAnsi="Calibri"/>
        </w:rPr>
        <w:t xml:space="preserve">list of do’s and don’ts </w:t>
      </w:r>
      <w:r w:rsidR="00A3047D">
        <w:rPr>
          <w:rFonts w:ascii="Calibri" w:hAnsi="Calibri"/>
        </w:rPr>
        <w:t>for the next meeting.</w:t>
      </w:r>
    </w:p>
    <w:p w:rsidR="00F13C3D" w:rsidRDefault="00F13C3D" w:rsidP="00F13C3D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County Assessment</w:t>
      </w:r>
    </w:p>
    <w:p w:rsidR="00F13C3D" w:rsidRDefault="00F13C3D" w:rsidP="00F13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Mark updated the group on the decision </w:t>
      </w:r>
      <w:r w:rsidR="0091389C">
        <w:rPr>
          <w:rFonts w:ascii="Calibri" w:hAnsi="Calibri"/>
        </w:rPr>
        <w:t xml:space="preserve">to </w:t>
      </w:r>
      <w:r>
        <w:rPr>
          <w:rFonts w:ascii="Calibri" w:hAnsi="Calibri"/>
        </w:rPr>
        <w:t>rethink using Beth Stroul’s to</w:t>
      </w:r>
      <w:r w:rsidR="0091389C">
        <w:rPr>
          <w:rFonts w:ascii="Calibri" w:hAnsi="Calibri"/>
        </w:rPr>
        <w:t xml:space="preserve">ol to </w:t>
      </w:r>
      <w:r>
        <w:rPr>
          <w:rFonts w:ascii="Calibri" w:hAnsi="Calibri"/>
        </w:rPr>
        <w:t xml:space="preserve">remake the County Assessment </w:t>
      </w:r>
      <w:r w:rsidR="0091389C">
        <w:rPr>
          <w:rFonts w:ascii="Calibri" w:hAnsi="Calibri"/>
        </w:rPr>
        <w:t>in the midst of the</w:t>
      </w:r>
      <w:r>
        <w:rPr>
          <w:rFonts w:ascii="Calibri" w:hAnsi="Calibri"/>
        </w:rPr>
        <w:t xml:space="preserve"> the new SOC grant and strategic planning process.</w:t>
      </w:r>
    </w:p>
    <w:p w:rsidR="00F13C3D" w:rsidRDefault="00F13C3D" w:rsidP="00F13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The length and language of Beth’s assessment is not as youth and family friendly</w:t>
      </w:r>
      <w:r w:rsidR="0091389C">
        <w:rPr>
          <w:rFonts w:ascii="Calibri" w:hAnsi="Calibri"/>
        </w:rPr>
        <w:t xml:space="preserve"> as it needs to be</w:t>
      </w:r>
      <w:r>
        <w:rPr>
          <w:rFonts w:ascii="Calibri" w:hAnsi="Calibri"/>
        </w:rPr>
        <w:t>.</w:t>
      </w:r>
    </w:p>
    <w:p w:rsidR="0091389C" w:rsidRDefault="0091389C" w:rsidP="00F13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The new idea is to create short surveys that focus on different evaluation pieces, one key area that people have noted in the past</w:t>
      </w:r>
      <w:r w:rsidR="00D02D3A">
        <w:rPr>
          <w:rFonts w:ascii="Calibri" w:hAnsi="Calibri"/>
        </w:rPr>
        <w:t xml:space="preserve"> that</w:t>
      </w:r>
      <w:r>
        <w:rPr>
          <w:rFonts w:ascii="Calibri" w:hAnsi="Calibri"/>
        </w:rPr>
        <w:t xml:space="preserve"> is not focused on enough is the delivery and availability of services.</w:t>
      </w:r>
    </w:p>
    <w:p w:rsidR="0091389C" w:rsidRDefault="00343B46" w:rsidP="0091389C">
      <w:pPr>
        <w:pStyle w:val="ListParagraph"/>
        <w:numPr>
          <w:ilvl w:val="3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Short surveys are e</w:t>
      </w:r>
      <w:r w:rsidR="0091389C">
        <w:rPr>
          <w:rFonts w:ascii="Calibri" w:hAnsi="Calibri"/>
        </w:rPr>
        <w:t xml:space="preserve">asier to fill out and could be ongoing, not just </w:t>
      </w:r>
      <w:r>
        <w:rPr>
          <w:rFonts w:ascii="Calibri" w:hAnsi="Calibri"/>
        </w:rPr>
        <w:t xml:space="preserve">during </w:t>
      </w:r>
      <w:r w:rsidR="0091389C">
        <w:rPr>
          <w:rFonts w:ascii="Calibri" w:hAnsi="Calibri"/>
        </w:rPr>
        <w:t>a specific time of the year</w:t>
      </w:r>
    </w:p>
    <w:p w:rsidR="0091389C" w:rsidRPr="0091389C" w:rsidRDefault="0091389C" w:rsidP="00F13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/>
        </w:rPr>
      </w:pPr>
      <w:r w:rsidRPr="0091389C">
        <w:rPr>
          <w:rFonts w:ascii="Calibri" w:hAnsi="Calibri"/>
          <w:b/>
        </w:rPr>
        <w:t>Standard</w:t>
      </w:r>
      <w:r>
        <w:rPr>
          <w:rFonts w:ascii="Calibri" w:hAnsi="Calibri"/>
        </w:rPr>
        <w:t xml:space="preserve"> (checkmark</w:t>
      </w:r>
      <w:r w:rsidR="00343B46">
        <w:rPr>
          <w:rFonts w:ascii="Calibri" w:hAnsi="Calibri"/>
        </w:rPr>
        <w:t>,</w:t>
      </w:r>
      <w:r>
        <w:rPr>
          <w:rFonts w:ascii="Calibri" w:hAnsi="Calibri"/>
        </w:rPr>
        <w:t xml:space="preserve"> did you or did you not do something?) vs. </w:t>
      </w:r>
      <w:r w:rsidRPr="0091389C">
        <w:rPr>
          <w:rFonts w:ascii="Calibri" w:hAnsi="Calibri"/>
          <w:b/>
        </w:rPr>
        <w:t>Value</w:t>
      </w:r>
    </w:p>
    <w:p w:rsidR="0091389C" w:rsidRDefault="0091389C" w:rsidP="00F13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Gordon (and others) has reservations about getting rid of Beth’s tool entirely and suggested using it, but dividing it into smaller pieces. He said there would be a benefit of using both ideas as complimentary. </w:t>
      </w:r>
    </w:p>
    <w:p w:rsidR="0091389C" w:rsidRDefault="0091389C" w:rsidP="00F13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*Dat</w:t>
      </w:r>
      <w:r w:rsidR="00343B46">
        <w:rPr>
          <w:rFonts w:ascii="Calibri" w:hAnsi="Calibri"/>
        </w:rPr>
        <w:t>a</w:t>
      </w:r>
      <w:r>
        <w:rPr>
          <w:rFonts w:ascii="Calibri" w:hAnsi="Calibri"/>
        </w:rPr>
        <w:t xml:space="preserve"> is important, but if the survey is too long or people aren’t filling it out entirely for whatever reason then there is not data / </w:t>
      </w:r>
      <w:r w:rsidR="00343B46">
        <w:rPr>
          <w:rFonts w:ascii="Calibri" w:hAnsi="Calibri"/>
        </w:rPr>
        <w:t xml:space="preserve">no </w:t>
      </w:r>
      <w:r>
        <w:rPr>
          <w:rFonts w:ascii="Calibri" w:hAnsi="Calibri"/>
        </w:rPr>
        <w:t>value.</w:t>
      </w:r>
    </w:p>
    <w:p w:rsidR="0091389C" w:rsidRDefault="0091389C" w:rsidP="00F13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Keeping the surveys </w:t>
      </w:r>
      <w:r w:rsidR="00870011">
        <w:rPr>
          <w:rFonts w:ascii="Calibri" w:hAnsi="Calibri"/>
        </w:rPr>
        <w:t>short, keeps</w:t>
      </w:r>
      <w:r>
        <w:rPr>
          <w:rFonts w:ascii="Calibri" w:hAnsi="Calibri"/>
        </w:rPr>
        <w:t xml:space="preserve"> the people engaged.</w:t>
      </w:r>
    </w:p>
    <w:p w:rsidR="0091389C" w:rsidRDefault="0091389C" w:rsidP="00F13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  <w:i/>
        </w:rPr>
        <w:t>Can we develop a “happy medium?”</w:t>
      </w:r>
    </w:p>
    <w:p w:rsidR="0091389C" w:rsidRDefault="0091389C" w:rsidP="00F13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/>
          <w:i/>
        </w:rPr>
      </w:pPr>
      <w:r w:rsidRPr="0091389C">
        <w:rPr>
          <w:rFonts w:ascii="Calibri" w:hAnsi="Calibri"/>
          <w:i/>
        </w:rPr>
        <w:t>Can we show examples of these smaller surveys at the next meeting?</w:t>
      </w:r>
    </w:p>
    <w:p w:rsidR="0091389C" w:rsidRDefault="0091389C" w:rsidP="0091389C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/>
          <w:i/>
        </w:rPr>
      </w:pPr>
      <w:r>
        <w:rPr>
          <w:rFonts w:ascii="Calibri" w:hAnsi="Calibri"/>
          <w:i/>
        </w:rPr>
        <w:t>Who is currently using this idea (Beth’s tool – PA vs. other states) and what are they doing about the length, lack of participation, etc.?</w:t>
      </w:r>
    </w:p>
    <w:p w:rsidR="00B739C6" w:rsidRPr="00870011" w:rsidRDefault="00210B79" w:rsidP="0091389C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i/>
        </w:rPr>
      </w:pPr>
      <w:r>
        <w:rPr>
          <w:rFonts w:ascii="Calibri" w:hAnsi="Calibri"/>
        </w:rPr>
        <w:t>Gordon brought up the Interagency Conference (April 30-May 3)</w:t>
      </w:r>
      <w:r w:rsidR="00870011">
        <w:rPr>
          <w:rFonts w:ascii="Calibri" w:hAnsi="Calibri"/>
        </w:rPr>
        <w:t xml:space="preserve"> and would like to discuss which presentations are related to </w:t>
      </w:r>
      <w:r w:rsidR="00343B46">
        <w:rPr>
          <w:rFonts w:ascii="Calibri" w:hAnsi="Calibri"/>
        </w:rPr>
        <w:t>evaluation and our s</w:t>
      </w:r>
      <w:r w:rsidR="00870011">
        <w:rPr>
          <w:rFonts w:ascii="Calibri" w:hAnsi="Calibri"/>
        </w:rPr>
        <w:t>ubcommittee. He suggested this is something Monica may need to be present for.</w:t>
      </w:r>
    </w:p>
    <w:p w:rsidR="00870011" w:rsidRPr="00870011" w:rsidRDefault="00870011" w:rsidP="00870011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/>
          <w:i/>
        </w:rPr>
      </w:pPr>
      <w:r>
        <w:rPr>
          <w:rFonts w:ascii="Calibri" w:hAnsi="Calibri"/>
        </w:rPr>
        <w:t>Mark and Jill discussed where and how to register (</w:t>
      </w:r>
      <w:hyperlink r:id="rId32" w:history="1">
        <w:r w:rsidRPr="00AC636C">
          <w:rPr>
            <w:rStyle w:val="Hyperlink"/>
            <w:rFonts w:ascii="Calibri" w:hAnsi="Calibri"/>
          </w:rPr>
          <w:t>http://www.pasocpartnership.org/20th-interagency-conference</w:t>
        </w:r>
      </w:hyperlink>
      <w:r>
        <w:rPr>
          <w:rFonts w:ascii="Calibri" w:hAnsi="Calibri"/>
        </w:rPr>
        <w:t xml:space="preserve">) as well as hotel reservations. Mark forwarded an email to the group with </w:t>
      </w:r>
      <w:r w:rsidR="00343B46">
        <w:rPr>
          <w:rFonts w:ascii="Calibri" w:hAnsi="Calibri"/>
        </w:rPr>
        <w:t>all</w:t>
      </w:r>
      <w:r>
        <w:rPr>
          <w:rFonts w:ascii="Calibri" w:hAnsi="Calibri"/>
        </w:rPr>
        <w:t xml:space="preserve"> the necessary </w:t>
      </w:r>
      <w:r w:rsidRPr="00870011">
        <w:rPr>
          <w:rFonts w:ascii="Calibri" w:hAnsi="Calibri"/>
        </w:rPr>
        <w:t>information.</w:t>
      </w:r>
    </w:p>
    <w:p w:rsidR="0011656C" w:rsidRPr="00870011" w:rsidRDefault="00870011" w:rsidP="00870011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/>
          <w:i/>
        </w:rPr>
      </w:pPr>
      <w:r w:rsidRPr="00870011">
        <w:rPr>
          <w:rFonts w:ascii="Calibri" w:hAnsi="Calibri"/>
        </w:rPr>
        <w:t>Mark</w:t>
      </w:r>
      <w:r w:rsidR="00343B46">
        <w:rPr>
          <w:rFonts w:ascii="Calibri" w:hAnsi="Calibri"/>
        </w:rPr>
        <w:t xml:space="preserve"> mentioned the ability for the s</w:t>
      </w:r>
      <w:r w:rsidRPr="00870011">
        <w:rPr>
          <w:rFonts w:ascii="Calibri" w:hAnsi="Calibri"/>
        </w:rPr>
        <w:t xml:space="preserve">ubcommittee to </w:t>
      </w:r>
      <w:r w:rsidR="00343B46">
        <w:rPr>
          <w:rFonts w:ascii="Calibri" w:hAnsi="Calibri"/>
        </w:rPr>
        <w:t>reserve</w:t>
      </w:r>
      <w:r w:rsidRPr="00870011">
        <w:rPr>
          <w:rFonts w:ascii="Calibri" w:hAnsi="Calibri"/>
        </w:rPr>
        <w:t xml:space="preserve"> a conference room Monday morning</w:t>
      </w:r>
      <w:r w:rsidR="00343B46">
        <w:rPr>
          <w:rFonts w:ascii="Calibri" w:hAnsi="Calibri"/>
        </w:rPr>
        <w:t xml:space="preserve"> (April 30)</w:t>
      </w:r>
      <w:r w:rsidRPr="00870011">
        <w:rPr>
          <w:rFonts w:ascii="Calibri" w:hAnsi="Calibri"/>
        </w:rPr>
        <w:t xml:space="preserve"> if we’d like to meet in person.</w:t>
      </w:r>
    </w:p>
    <w:p w:rsidR="00E9331E" w:rsidRPr="002B454B" w:rsidRDefault="002B454B" w:rsidP="00E9331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hAnsi="Calibri"/>
        </w:rPr>
      </w:pPr>
      <w:r w:rsidRPr="002B454B">
        <w:rPr>
          <w:rFonts w:ascii="Calibri" w:hAnsi="Calibri"/>
        </w:rPr>
        <w:t>Sam</w:t>
      </w:r>
      <w:r w:rsidR="00E9331E" w:rsidRPr="002B454B">
        <w:rPr>
          <w:rFonts w:ascii="Calibri" w:hAnsi="Calibri"/>
        </w:rPr>
        <w:t xml:space="preserve"> adjourned the meeting a</w:t>
      </w:r>
      <w:r w:rsidRPr="002B454B">
        <w:rPr>
          <w:rFonts w:ascii="Calibri" w:hAnsi="Calibri"/>
        </w:rPr>
        <w:t>round</w:t>
      </w:r>
      <w:r w:rsidR="00E9331E" w:rsidRPr="002B454B">
        <w:rPr>
          <w:rFonts w:ascii="Calibri" w:hAnsi="Calibri"/>
        </w:rPr>
        <w:t xml:space="preserve"> </w:t>
      </w:r>
      <w:r w:rsidRPr="002B454B">
        <w:rPr>
          <w:rFonts w:ascii="Calibri" w:hAnsi="Calibri"/>
        </w:rPr>
        <w:t>10:2</w:t>
      </w:r>
      <w:r w:rsidR="00B739C6" w:rsidRPr="002B454B">
        <w:rPr>
          <w:rFonts w:ascii="Calibri" w:hAnsi="Calibri"/>
        </w:rPr>
        <w:t>0</w:t>
      </w:r>
      <w:r w:rsidRPr="002B454B">
        <w:rPr>
          <w:rFonts w:ascii="Calibri" w:hAnsi="Calibri"/>
        </w:rPr>
        <w:t xml:space="preserve"> AM</w:t>
      </w:r>
      <w:r w:rsidR="00E9331E" w:rsidRPr="002B454B">
        <w:rPr>
          <w:rFonts w:ascii="Calibri" w:hAnsi="Calibri"/>
        </w:rPr>
        <w:t>.</w:t>
      </w:r>
    </w:p>
    <w:p w:rsidR="00E9331E" w:rsidRPr="002B454B" w:rsidRDefault="00343B46" w:rsidP="00E9331E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The next s</w:t>
      </w:r>
      <w:r w:rsidR="00E9331E" w:rsidRPr="002B454B">
        <w:rPr>
          <w:rFonts w:ascii="Calibri" w:hAnsi="Calibri"/>
        </w:rPr>
        <w:t xml:space="preserve">ubcommittee meeting will be held on </w:t>
      </w:r>
      <w:r w:rsidR="002B454B" w:rsidRPr="002B454B">
        <w:rPr>
          <w:rFonts w:ascii="Calibri" w:hAnsi="Calibri"/>
        </w:rPr>
        <w:t>March 8</w:t>
      </w:r>
      <w:r w:rsidR="002B454B" w:rsidRPr="002B454B">
        <w:rPr>
          <w:rFonts w:ascii="Calibri" w:hAnsi="Calibri"/>
          <w:vertAlign w:val="superscript"/>
        </w:rPr>
        <w:t>th</w:t>
      </w:r>
      <w:r w:rsidR="002B454B" w:rsidRPr="002B454B">
        <w:rPr>
          <w:rFonts w:ascii="Calibri" w:hAnsi="Calibri"/>
        </w:rPr>
        <w:t xml:space="preserve"> </w:t>
      </w:r>
      <w:r w:rsidR="00E9331E" w:rsidRPr="002B454B">
        <w:rPr>
          <w:rFonts w:ascii="Calibri" w:hAnsi="Calibri"/>
        </w:rPr>
        <w:t>at 9:00</w:t>
      </w:r>
      <w:r w:rsidR="002B454B" w:rsidRPr="002B454B">
        <w:rPr>
          <w:rFonts w:ascii="Calibri" w:hAnsi="Calibri"/>
        </w:rPr>
        <w:t xml:space="preserve"> AM</w:t>
      </w:r>
      <w:r w:rsidR="00E9331E" w:rsidRPr="002B454B">
        <w:rPr>
          <w:rFonts w:ascii="Calibri" w:hAnsi="Calibri"/>
        </w:rPr>
        <w:t xml:space="preserve">. </w:t>
      </w:r>
    </w:p>
    <w:sectPr w:rsidR="00E9331E" w:rsidRPr="002B454B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A8F" w:rsidRDefault="008E1A8F" w:rsidP="00B35346">
      <w:pPr>
        <w:spacing w:after="0" w:line="240" w:lineRule="auto"/>
      </w:pPr>
      <w:r>
        <w:separator/>
      </w:r>
    </w:p>
  </w:endnote>
  <w:endnote w:type="continuationSeparator" w:id="0">
    <w:p w:rsidR="008E1A8F" w:rsidRDefault="008E1A8F" w:rsidP="00B3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863" w:rsidRDefault="001958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863" w:rsidRDefault="001958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863" w:rsidRDefault="00195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A8F" w:rsidRDefault="008E1A8F" w:rsidP="00B35346">
      <w:pPr>
        <w:spacing w:after="0" w:line="240" w:lineRule="auto"/>
      </w:pPr>
      <w:r>
        <w:separator/>
      </w:r>
    </w:p>
  </w:footnote>
  <w:footnote w:type="continuationSeparator" w:id="0">
    <w:p w:rsidR="008E1A8F" w:rsidRDefault="008E1A8F" w:rsidP="00B3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863" w:rsidRDefault="001958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863" w:rsidRDefault="001958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863" w:rsidRDefault="001958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52CAE"/>
    <w:multiLevelType w:val="hybridMultilevel"/>
    <w:tmpl w:val="A49ED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44373"/>
    <w:multiLevelType w:val="hybridMultilevel"/>
    <w:tmpl w:val="550AEE32"/>
    <w:lvl w:ilvl="0" w:tplc="55120E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5120E94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1773A"/>
    <w:multiLevelType w:val="hybridMultilevel"/>
    <w:tmpl w:val="4CDAA4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A1"/>
    <w:rsid w:val="00046B71"/>
    <w:rsid w:val="000502C4"/>
    <w:rsid w:val="000658C9"/>
    <w:rsid w:val="00070F10"/>
    <w:rsid w:val="000A0238"/>
    <w:rsid w:val="000A043C"/>
    <w:rsid w:val="000A656F"/>
    <w:rsid w:val="000B25CC"/>
    <w:rsid w:val="000B56D8"/>
    <w:rsid w:val="000C4507"/>
    <w:rsid w:val="000C575C"/>
    <w:rsid w:val="000E4F7B"/>
    <w:rsid w:val="0011656C"/>
    <w:rsid w:val="00120B57"/>
    <w:rsid w:val="00127C10"/>
    <w:rsid w:val="00130B5C"/>
    <w:rsid w:val="001506D2"/>
    <w:rsid w:val="00161F73"/>
    <w:rsid w:val="00167CC2"/>
    <w:rsid w:val="001802EE"/>
    <w:rsid w:val="00195863"/>
    <w:rsid w:val="001A04AD"/>
    <w:rsid w:val="001B2FFA"/>
    <w:rsid w:val="001E4A53"/>
    <w:rsid w:val="00210B79"/>
    <w:rsid w:val="00223FB6"/>
    <w:rsid w:val="002355A5"/>
    <w:rsid w:val="00261629"/>
    <w:rsid w:val="00264EA1"/>
    <w:rsid w:val="002B454B"/>
    <w:rsid w:val="002B6459"/>
    <w:rsid w:val="002C44FD"/>
    <w:rsid w:val="002D1C93"/>
    <w:rsid w:val="002F269F"/>
    <w:rsid w:val="00300A86"/>
    <w:rsid w:val="0030537B"/>
    <w:rsid w:val="003072F1"/>
    <w:rsid w:val="003368B8"/>
    <w:rsid w:val="00343B46"/>
    <w:rsid w:val="00344ECF"/>
    <w:rsid w:val="00356C04"/>
    <w:rsid w:val="00392D61"/>
    <w:rsid w:val="00395286"/>
    <w:rsid w:val="003C328F"/>
    <w:rsid w:val="003D069F"/>
    <w:rsid w:val="003F4223"/>
    <w:rsid w:val="00411BA7"/>
    <w:rsid w:val="00425AD3"/>
    <w:rsid w:val="00447EDA"/>
    <w:rsid w:val="00453A59"/>
    <w:rsid w:val="00456ADA"/>
    <w:rsid w:val="00472943"/>
    <w:rsid w:val="004A487F"/>
    <w:rsid w:val="004F0D5A"/>
    <w:rsid w:val="004F1B05"/>
    <w:rsid w:val="00516F8E"/>
    <w:rsid w:val="00534488"/>
    <w:rsid w:val="00564A78"/>
    <w:rsid w:val="005B0BFA"/>
    <w:rsid w:val="005D138E"/>
    <w:rsid w:val="005F21F5"/>
    <w:rsid w:val="00632CCB"/>
    <w:rsid w:val="006413A7"/>
    <w:rsid w:val="00654025"/>
    <w:rsid w:val="006721A0"/>
    <w:rsid w:val="00672969"/>
    <w:rsid w:val="00672E8A"/>
    <w:rsid w:val="00674135"/>
    <w:rsid w:val="00675DE2"/>
    <w:rsid w:val="006B5F91"/>
    <w:rsid w:val="006E0ED1"/>
    <w:rsid w:val="006F690C"/>
    <w:rsid w:val="00705041"/>
    <w:rsid w:val="00726AF2"/>
    <w:rsid w:val="00747285"/>
    <w:rsid w:val="00750986"/>
    <w:rsid w:val="007641E3"/>
    <w:rsid w:val="007708DB"/>
    <w:rsid w:val="0078024D"/>
    <w:rsid w:val="00791AD2"/>
    <w:rsid w:val="007A6719"/>
    <w:rsid w:val="007A79EF"/>
    <w:rsid w:val="007C58A2"/>
    <w:rsid w:val="007C725C"/>
    <w:rsid w:val="007C7E48"/>
    <w:rsid w:val="007D02A1"/>
    <w:rsid w:val="007E2B9D"/>
    <w:rsid w:val="007E4383"/>
    <w:rsid w:val="008043D5"/>
    <w:rsid w:val="00814531"/>
    <w:rsid w:val="00831ACB"/>
    <w:rsid w:val="00865989"/>
    <w:rsid w:val="00870011"/>
    <w:rsid w:val="0089183A"/>
    <w:rsid w:val="008C4998"/>
    <w:rsid w:val="008C6684"/>
    <w:rsid w:val="008D0E71"/>
    <w:rsid w:val="008E1A8F"/>
    <w:rsid w:val="00906818"/>
    <w:rsid w:val="00906D5F"/>
    <w:rsid w:val="009137AA"/>
    <w:rsid w:val="0091389C"/>
    <w:rsid w:val="009423C2"/>
    <w:rsid w:val="009443EF"/>
    <w:rsid w:val="00964070"/>
    <w:rsid w:val="009B1EA6"/>
    <w:rsid w:val="009D27E4"/>
    <w:rsid w:val="00A00D4D"/>
    <w:rsid w:val="00A04F1A"/>
    <w:rsid w:val="00A3047D"/>
    <w:rsid w:val="00A478AF"/>
    <w:rsid w:val="00A6320D"/>
    <w:rsid w:val="00A9585A"/>
    <w:rsid w:val="00AB4104"/>
    <w:rsid w:val="00AD3D10"/>
    <w:rsid w:val="00B017D3"/>
    <w:rsid w:val="00B03225"/>
    <w:rsid w:val="00B35346"/>
    <w:rsid w:val="00B55D92"/>
    <w:rsid w:val="00B739C6"/>
    <w:rsid w:val="00B86C9F"/>
    <w:rsid w:val="00B9091B"/>
    <w:rsid w:val="00BB68FA"/>
    <w:rsid w:val="00BC4B24"/>
    <w:rsid w:val="00BE1D90"/>
    <w:rsid w:val="00C33729"/>
    <w:rsid w:val="00C4632B"/>
    <w:rsid w:val="00C82479"/>
    <w:rsid w:val="00C828DC"/>
    <w:rsid w:val="00C82989"/>
    <w:rsid w:val="00C91410"/>
    <w:rsid w:val="00C91594"/>
    <w:rsid w:val="00CA6C9A"/>
    <w:rsid w:val="00D01DA5"/>
    <w:rsid w:val="00D02D3A"/>
    <w:rsid w:val="00D42F60"/>
    <w:rsid w:val="00D50D58"/>
    <w:rsid w:val="00D63037"/>
    <w:rsid w:val="00DA354F"/>
    <w:rsid w:val="00DC652C"/>
    <w:rsid w:val="00DD14DA"/>
    <w:rsid w:val="00DF70C1"/>
    <w:rsid w:val="00E83C32"/>
    <w:rsid w:val="00E9331E"/>
    <w:rsid w:val="00EA2754"/>
    <w:rsid w:val="00EB06F6"/>
    <w:rsid w:val="00EC2E42"/>
    <w:rsid w:val="00EE72E4"/>
    <w:rsid w:val="00EE7B64"/>
    <w:rsid w:val="00EF7370"/>
    <w:rsid w:val="00F01DB2"/>
    <w:rsid w:val="00F13C3D"/>
    <w:rsid w:val="00F2692C"/>
    <w:rsid w:val="00F3741E"/>
    <w:rsid w:val="00FA4CE3"/>
    <w:rsid w:val="00FA5625"/>
    <w:rsid w:val="00FB1111"/>
    <w:rsid w:val="00FC61C8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F594AF2-9E27-4ED1-924D-6AB87598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E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4E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346"/>
  </w:style>
  <w:style w:type="paragraph" w:styleId="Footer">
    <w:name w:val="footer"/>
    <w:basedOn w:val="Normal"/>
    <w:link w:val="FooterChar"/>
    <w:uiPriority w:val="99"/>
    <w:unhideWhenUsed/>
    <w:rsid w:val="00B3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346"/>
  </w:style>
  <w:style w:type="paragraph" w:styleId="BalloonText">
    <w:name w:val="Balloon Text"/>
    <w:basedOn w:val="Normal"/>
    <w:link w:val="BalloonTextChar"/>
    <w:uiPriority w:val="99"/>
    <w:semiHidden/>
    <w:unhideWhenUsed/>
    <w:rsid w:val="0096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07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700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dcoleman@gmail.com" TargetMode="External"/><Relationship Id="rId13" Type="http://schemas.openxmlformats.org/officeDocument/2006/relationships/hyperlink" Target="mailto:akindrubin@gmail.com" TargetMode="External"/><Relationship Id="rId18" Type="http://schemas.openxmlformats.org/officeDocument/2006/relationships/hyperlink" Target="mailto:Myersaa298@gmail.com" TargetMode="External"/><Relationship Id="rId26" Type="http://schemas.openxmlformats.org/officeDocument/2006/relationships/hyperlink" Target="mailto:jenkinske@upmc.edu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deannhamilton@gmail.com" TargetMode="External"/><Relationship Id="rId34" Type="http://schemas.openxmlformats.org/officeDocument/2006/relationships/header" Target="header2.xml"/><Relationship Id="rId7" Type="http://schemas.openxmlformats.org/officeDocument/2006/relationships/hyperlink" Target="mailto:achrostowski@eecaremgt.org" TargetMode="External"/><Relationship Id="rId12" Type="http://schemas.openxmlformats.org/officeDocument/2006/relationships/hyperlink" Target="mailto:gordonhodas@hotmail.com" TargetMode="External"/><Relationship Id="rId17" Type="http://schemas.openxmlformats.org/officeDocument/2006/relationships/hyperlink" Target="mailto:lmilan@co.greene.pa.us" TargetMode="External"/><Relationship Id="rId25" Type="http://schemas.openxmlformats.org/officeDocument/2006/relationships/hyperlink" Target="mailto:Durginm@upmc.edu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bluke@childandfamilyfocus.org" TargetMode="External"/><Relationship Id="rId20" Type="http://schemas.openxmlformats.org/officeDocument/2006/relationships/hyperlink" Target="mailto:msilva@alleghenyfamilynetwork.org" TargetMode="External"/><Relationship Id="rId29" Type="http://schemas.openxmlformats.org/officeDocument/2006/relationships/hyperlink" Target="mailto:pasocjill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freas@hsao.org" TargetMode="External"/><Relationship Id="rId24" Type="http://schemas.openxmlformats.org/officeDocument/2006/relationships/hyperlink" Target="mailto:judydavis@bharp.org" TargetMode="External"/><Relationship Id="rId32" Type="http://schemas.openxmlformats.org/officeDocument/2006/relationships/hyperlink" Target="http://www.pasocpartnership.org/20th-interagency-conference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corey@youthmovepa.org" TargetMode="External"/><Relationship Id="rId23" Type="http://schemas.openxmlformats.org/officeDocument/2006/relationships/hyperlink" Target="mailto:mrbible@eriecountypa.gov" TargetMode="External"/><Relationship Id="rId28" Type="http://schemas.openxmlformats.org/officeDocument/2006/relationships/hyperlink" Target="mailto:dmoerer@yapinc.org" TargetMode="External"/><Relationship Id="rId36" Type="http://schemas.openxmlformats.org/officeDocument/2006/relationships/footer" Target="footer2.xml"/><Relationship Id="rId10" Type="http://schemas.openxmlformats.org/officeDocument/2006/relationships/hyperlink" Target="mailto:dfisher@childandfamilyfocus.org" TargetMode="External"/><Relationship Id="rId19" Type="http://schemas.openxmlformats.org/officeDocument/2006/relationships/hyperlink" Target="mailto:nrohac@gmail.com" TargetMode="External"/><Relationship Id="rId31" Type="http://schemas.openxmlformats.org/officeDocument/2006/relationships/hyperlink" Target="mailto:bursics@upm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lam@prysmyouthcenter.org" TargetMode="External"/><Relationship Id="rId14" Type="http://schemas.openxmlformats.org/officeDocument/2006/relationships/hyperlink" Target="mailto:luckenbillwl@upmc.edu" TargetMode="External"/><Relationship Id="rId22" Type="http://schemas.openxmlformats.org/officeDocument/2006/relationships/hyperlink" Target="mailto:ta63@drexel.edu" TargetMode="External"/><Relationship Id="rId27" Type="http://schemas.openxmlformats.org/officeDocument/2006/relationships/hyperlink" Target="mailto:akatonalinn@gmail.com" TargetMode="External"/><Relationship Id="rId30" Type="http://schemas.openxmlformats.org/officeDocument/2006/relationships/hyperlink" Target="mailto:walkermm@upmc.edu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Knapp, Alex C.</dc:creator>
  <cp:lastModifiedBy>Bursic, Samantha</cp:lastModifiedBy>
  <cp:revision>9</cp:revision>
  <cp:lastPrinted>2018-02-08T13:00:00Z</cp:lastPrinted>
  <dcterms:created xsi:type="dcterms:W3CDTF">2018-02-06T14:09:00Z</dcterms:created>
  <dcterms:modified xsi:type="dcterms:W3CDTF">2018-02-08T17:33:00Z</dcterms:modified>
</cp:coreProperties>
</file>